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86791" w14:textId="3197E181" w:rsidR="002839D9" w:rsidRPr="006602A3" w:rsidRDefault="002839D9" w:rsidP="002839D9">
      <w:pPr>
        <w:pStyle w:val="NoSpacing"/>
        <w:rPr>
          <w:rFonts w:ascii="Book Antiqua" w:hAnsi="Book Antiqua"/>
          <w:b/>
          <w:bCs/>
        </w:rPr>
      </w:pPr>
      <w:r w:rsidRPr="006602A3">
        <w:rPr>
          <w:rFonts w:ascii="Book Antiqua" w:hAnsi="Book Antiqua"/>
          <w:b/>
          <w:bCs/>
        </w:rPr>
        <w:t>Summary</w:t>
      </w:r>
    </w:p>
    <w:p w14:paraId="2D8D641D" w14:textId="77777777" w:rsidR="002839D9" w:rsidRDefault="002839D9" w:rsidP="002839D9">
      <w:pPr>
        <w:pStyle w:val="NoSpacing"/>
        <w:rPr>
          <w:rFonts w:ascii="Book Antiqua" w:hAnsi="Book Antiqua"/>
        </w:rPr>
      </w:pPr>
    </w:p>
    <w:p w14:paraId="196EA69F" w14:textId="2BDF69B1" w:rsidR="00C72514" w:rsidRDefault="0050528E" w:rsidP="002839D9">
      <w:pPr>
        <w:pStyle w:val="NoSpacing"/>
        <w:rPr>
          <w:rFonts w:ascii="Book Antiqua" w:hAnsi="Book Antiqua"/>
        </w:rPr>
      </w:pPr>
      <w:r>
        <w:rPr>
          <w:rFonts w:ascii="Book Antiqua" w:hAnsi="Book Antiqua"/>
        </w:rPr>
        <w:t xml:space="preserve">Allow ample time to consider </w:t>
      </w:r>
      <w:r w:rsidR="00C72514">
        <w:rPr>
          <w:rFonts w:ascii="Book Antiqua" w:hAnsi="Book Antiqua"/>
        </w:rPr>
        <w:t>your goals and the type of event and atmosphere you want to create</w:t>
      </w:r>
      <w:r w:rsidRPr="0050528E">
        <w:t xml:space="preserve"> </w:t>
      </w:r>
      <w:r>
        <w:rPr>
          <w:rFonts w:ascii="Book Antiqua" w:hAnsi="Book Antiqua"/>
        </w:rPr>
        <w:t>b</w:t>
      </w:r>
      <w:r w:rsidRPr="0050528E">
        <w:rPr>
          <w:rFonts w:ascii="Book Antiqua" w:hAnsi="Book Antiqua"/>
        </w:rPr>
        <w:t>efore moving forward with plans for the 2026 ORE fundraising even</w:t>
      </w:r>
      <w:r>
        <w:rPr>
          <w:rFonts w:ascii="Book Antiqua" w:hAnsi="Book Antiqua"/>
        </w:rPr>
        <w:t>t</w:t>
      </w:r>
      <w:r w:rsidR="00C72514">
        <w:rPr>
          <w:rFonts w:ascii="Book Antiqua" w:hAnsi="Book Antiqua"/>
        </w:rPr>
        <w:t xml:space="preserve">.  </w:t>
      </w:r>
      <w:r>
        <w:rPr>
          <w:rFonts w:ascii="Book Antiqua" w:hAnsi="Book Antiqua"/>
        </w:rPr>
        <w:t xml:space="preserve">It may be time to reimagine this event.  </w:t>
      </w:r>
      <w:r w:rsidR="00C72514">
        <w:rPr>
          <w:rFonts w:ascii="Book Antiqua" w:hAnsi="Book Antiqua"/>
        </w:rPr>
        <w:t xml:space="preserve">Our club is smaller than it was five years ago and has a significant number of retirees and small business owners who may be price sensitive and less interested in a structured or formal event with a higher ticket price. </w:t>
      </w:r>
    </w:p>
    <w:p w14:paraId="4E7408F5" w14:textId="77777777" w:rsidR="00C72514" w:rsidRDefault="00C72514" w:rsidP="002839D9">
      <w:pPr>
        <w:pStyle w:val="NoSpacing"/>
        <w:rPr>
          <w:rFonts w:ascii="Book Antiqua" w:hAnsi="Book Antiqua"/>
        </w:rPr>
      </w:pPr>
    </w:p>
    <w:p w14:paraId="3E87FDC5" w14:textId="77777777" w:rsidR="00342E1E" w:rsidRDefault="0050528E" w:rsidP="002839D9">
      <w:pPr>
        <w:pStyle w:val="NoSpacing"/>
        <w:rPr>
          <w:rFonts w:ascii="Book Antiqua" w:hAnsi="Book Antiqua"/>
        </w:rPr>
      </w:pPr>
      <w:r>
        <w:rPr>
          <w:rFonts w:ascii="Book Antiqua" w:hAnsi="Book Antiqua"/>
        </w:rPr>
        <w:t>Planning is key. A</w:t>
      </w:r>
      <w:r w:rsidR="002839D9">
        <w:rPr>
          <w:rFonts w:ascii="Book Antiqua" w:hAnsi="Book Antiqua"/>
        </w:rPr>
        <w:t xml:space="preserve"> seated dinner with a live auction and audio-visual presentations requires </w:t>
      </w:r>
      <w:r w:rsidR="002839D9" w:rsidRPr="002839D9">
        <w:rPr>
          <w:rFonts w:ascii="Book Antiqua" w:hAnsi="Book Antiqua"/>
          <w:i/>
          <w:iCs/>
        </w:rPr>
        <w:t>at least</w:t>
      </w:r>
      <w:r w:rsidR="002839D9">
        <w:rPr>
          <w:rFonts w:ascii="Book Antiqua" w:hAnsi="Book Antiqua"/>
        </w:rPr>
        <w:t xml:space="preserve"> six months’ advance planning once the location and date have been secured.  </w:t>
      </w:r>
      <w:r w:rsidR="00C72514">
        <w:rPr>
          <w:rFonts w:ascii="Book Antiqua" w:hAnsi="Book Antiqua"/>
        </w:rPr>
        <w:t>This style of event costs around $200 per person in today’s economy</w:t>
      </w:r>
      <w:r w:rsidR="006602A3">
        <w:rPr>
          <w:rFonts w:ascii="Book Antiqua" w:hAnsi="Book Antiqua"/>
        </w:rPr>
        <w:t>, so sponsorship must start early in the fiscal year</w:t>
      </w:r>
      <w:r w:rsidR="00C72514">
        <w:rPr>
          <w:rFonts w:ascii="Book Antiqua" w:hAnsi="Book Antiqua"/>
        </w:rPr>
        <w:t xml:space="preserve">.  </w:t>
      </w:r>
      <w:r w:rsidR="002839D9">
        <w:rPr>
          <w:rFonts w:ascii="Book Antiqua" w:hAnsi="Book Antiqua"/>
        </w:rPr>
        <w:t xml:space="preserve">Given the many details involved, a </w:t>
      </w:r>
    </w:p>
    <w:p w14:paraId="40E2DF71" w14:textId="23D782FF" w:rsidR="002839D9" w:rsidRDefault="002839D9" w:rsidP="002839D9">
      <w:pPr>
        <w:pStyle w:val="NoSpacing"/>
        <w:rPr>
          <w:rFonts w:ascii="Book Antiqua" w:hAnsi="Book Antiqua"/>
        </w:rPr>
      </w:pPr>
      <w:proofErr w:type="gramStart"/>
      <w:r>
        <w:rPr>
          <w:rFonts w:ascii="Book Antiqua" w:hAnsi="Book Antiqua"/>
        </w:rPr>
        <w:t>volunteer</w:t>
      </w:r>
      <w:proofErr w:type="gramEnd"/>
      <w:r>
        <w:rPr>
          <w:rFonts w:ascii="Book Antiqua" w:hAnsi="Book Antiqua"/>
        </w:rPr>
        <w:t xml:space="preserve"> team of 12 </w:t>
      </w:r>
      <w:r w:rsidR="00C72514">
        <w:rPr>
          <w:rFonts w:ascii="Book Antiqua" w:hAnsi="Book Antiqua"/>
        </w:rPr>
        <w:t>or more is needed</w:t>
      </w:r>
      <w:r>
        <w:rPr>
          <w:rFonts w:ascii="Book Antiqua" w:hAnsi="Book Antiqua"/>
        </w:rPr>
        <w:t xml:space="preserve"> to plan and execute advance and day-of aspects of the event.  </w:t>
      </w:r>
      <w:r w:rsidR="006602A3">
        <w:rPr>
          <w:rFonts w:ascii="Book Antiqua" w:hAnsi="Book Antiqua"/>
        </w:rPr>
        <w:t xml:space="preserve">Consensus and involvement from the Oakland Rotary and Oakland Rotary Endowment boards of directors and the club administrator will be beneficial. </w:t>
      </w:r>
      <w:r>
        <w:rPr>
          <w:rFonts w:ascii="Book Antiqua" w:hAnsi="Book Antiqua"/>
        </w:rPr>
        <w:t>See the general event timeline for an overview.</w:t>
      </w:r>
    </w:p>
    <w:p w14:paraId="33EE07B1" w14:textId="77777777" w:rsidR="00D56F36" w:rsidRDefault="00D56F36" w:rsidP="002839D9">
      <w:pPr>
        <w:pStyle w:val="NoSpacing"/>
        <w:rPr>
          <w:rFonts w:ascii="Book Antiqua" w:hAnsi="Book Antiqua"/>
        </w:rPr>
      </w:pPr>
    </w:p>
    <w:p w14:paraId="0941862E" w14:textId="52A459FA" w:rsidR="00D56F36" w:rsidRPr="006602A3" w:rsidRDefault="00D56F36" w:rsidP="002839D9">
      <w:pPr>
        <w:pStyle w:val="NoSpacing"/>
        <w:rPr>
          <w:rFonts w:ascii="Book Antiqua" w:hAnsi="Book Antiqua"/>
          <w:b/>
          <w:bCs/>
        </w:rPr>
      </w:pPr>
      <w:r w:rsidRPr="006602A3">
        <w:rPr>
          <w:rFonts w:ascii="Book Antiqua" w:hAnsi="Book Antiqua"/>
          <w:b/>
          <w:bCs/>
        </w:rPr>
        <w:t>Considerations</w:t>
      </w:r>
    </w:p>
    <w:p w14:paraId="1819C762" w14:textId="77777777" w:rsidR="00D56F36" w:rsidRDefault="00D56F36" w:rsidP="002839D9">
      <w:pPr>
        <w:pStyle w:val="NoSpacing"/>
        <w:rPr>
          <w:rFonts w:ascii="Book Antiqua" w:hAnsi="Book Antiqua"/>
        </w:rPr>
      </w:pPr>
    </w:p>
    <w:p w14:paraId="44762B7B" w14:textId="21CA6A02" w:rsidR="006F4761" w:rsidRDefault="00E73B5F" w:rsidP="002839D9">
      <w:pPr>
        <w:pStyle w:val="NoSpacing"/>
        <w:rPr>
          <w:rFonts w:ascii="Book Antiqua" w:hAnsi="Book Antiqua"/>
        </w:rPr>
      </w:pPr>
      <w:r>
        <w:rPr>
          <w:rFonts w:ascii="Book Antiqua" w:hAnsi="Book Antiqua"/>
        </w:rPr>
        <w:t xml:space="preserve">Move away from a </w:t>
      </w:r>
      <w:r w:rsidR="006F4761">
        <w:rPr>
          <w:rFonts w:ascii="Book Antiqua" w:hAnsi="Book Antiqua"/>
        </w:rPr>
        <w:t xml:space="preserve">formal seated dinner </w:t>
      </w:r>
      <w:r>
        <w:rPr>
          <w:rFonts w:ascii="Book Antiqua" w:hAnsi="Book Antiqua"/>
        </w:rPr>
        <w:t xml:space="preserve">to a </w:t>
      </w:r>
      <w:r w:rsidR="006F4761">
        <w:rPr>
          <w:rFonts w:ascii="Book Antiqua" w:hAnsi="Book Antiqua"/>
        </w:rPr>
        <w:t>format that allows for longer socialization time and incorporates a means of promoting and educating guests about Rotary’s service in Oakland and the world.  Allow time for a fund</w:t>
      </w:r>
      <w:r w:rsidR="006602A3">
        <w:rPr>
          <w:rFonts w:ascii="Book Antiqua" w:hAnsi="Book Antiqua"/>
        </w:rPr>
        <w:t>raising a</w:t>
      </w:r>
      <w:r w:rsidR="006F4761">
        <w:rPr>
          <w:rFonts w:ascii="Book Antiqua" w:hAnsi="Book Antiqua"/>
        </w:rPr>
        <w:t>ppeal</w:t>
      </w:r>
      <w:r w:rsidR="006602A3">
        <w:rPr>
          <w:rFonts w:ascii="Book Antiqua" w:hAnsi="Book Antiqua"/>
        </w:rPr>
        <w:t xml:space="preserve"> during the event, but not necessarily a live auction or even a silent auction.  Think in terms of raising thousands of dollars, not hundreds of dollars.</w:t>
      </w:r>
      <w:r w:rsidR="0050528E">
        <w:rPr>
          <w:rFonts w:ascii="Book Antiqua" w:hAnsi="Book Antiqua"/>
        </w:rPr>
        <w:t xml:space="preserve">  Two ideas discussed at our debrief included the following, and there are many ideas to consider.</w:t>
      </w:r>
    </w:p>
    <w:p w14:paraId="69307181" w14:textId="77777777" w:rsidR="006F4761" w:rsidRDefault="006F4761" w:rsidP="002839D9">
      <w:pPr>
        <w:pStyle w:val="NoSpacing"/>
        <w:rPr>
          <w:rFonts w:ascii="Book Antiqua" w:hAnsi="Book Antiqua"/>
        </w:rPr>
      </w:pPr>
    </w:p>
    <w:p w14:paraId="3949ED3E" w14:textId="346D3B62" w:rsidR="009E005A" w:rsidRDefault="009E005A" w:rsidP="006F4761">
      <w:pPr>
        <w:pStyle w:val="NoSpacing"/>
        <w:numPr>
          <w:ilvl w:val="0"/>
          <w:numId w:val="1"/>
        </w:numPr>
        <w:rPr>
          <w:rFonts w:ascii="Book Antiqua" w:hAnsi="Book Antiqua"/>
        </w:rPr>
      </w:pPr>
      <w:r>
        <w:rPr>
          <w:rFonts w:ascii="Book Antiqua" w:hAnsi="Book Antiqua"/>
        </w:rPr>
        <w:t xml:space="preserve">Consider a weekend brunch </w:t>
      </w:r>
      <w:r w:rsidR="00342E1E">
        <w:rPr>
          <w:rFonts w:ascii="Book Antiqua" w:hAnsi="Book Antiqua"/>
        </w:rPr>
        <w:t xml:space="preserve">in lieu of </w:t>
      </w:r>
      <w:r>
        <w:rPr>
          <w:rFonts w:ascii="Book Antiqua" w:hAnsi="Book Antiqua"/>
        </w:rPr>
        <w:t>a Thursday or Saturday evening event.</w:t>
      </w:r>
    </w:p>
    <w:p w14:paraId="573336F1" w14:textId="77777777" w:rsidR="009E005A" w:rsidRDefault="009E005A" w:rsidP="009E005A">
      <w:pPr>
        <w:pStyle w:val="NoSpacing"/>
        <w:rPr>
          <w:rFonts w:ascii="Book Antiqua" w:hAnsi="Book Antiqua"/>
        </w:rPr>
      </w:pPr>
    </w:p>
    <w:p w14:paraId="73109919" w14:textId="3A325DEC" w:rsidR="00D56F36" w:rsidRDefault="00D56F36" w:rsidP="006F4761">
      <w:pPr>
        <w:pStyle w:val="NoSpacing"/>
        <w:numPr>
          <w:ilvl w:val="0"/>
          <w:numId w:val="1"/>
        </w:numPr>
        <w:rPr>
          <w:rFonts w:ascii="Book Antiqua" w:hAnsi="Book Antiqua"/>
        </w:rPr>
      </w:pPr>
      <w:r>
        <w:rPr>
          <w:rFonts w:ascii="Book Antiqua" w:hAnsi="Book Antiqua"/>
        </w:rPr>
        <w:t xml:space="preserve">To </w:t>
      </w:r>
      <w:r w:rsidR="006F4761">
        <w:rPr>
          <w:rFonts w:ascii="Book Antiqua" w:hAnsi="Book Antiqua"/>
        </w:rPr>
        <w:t xml:space="preserve">emphasize </w:t>
      </w:r>
      <w:r>
        <w:rPr>
          <w:rFonts w:ascii="Book Antiqua" w:hAnsi="Book Antiqua"/>
        </w:rPr>
        <w:t xml:space="preserve">fellowship, offer a reception-style event with a buffet or appetizers and beverages that leads to a shorter seated program.  Have one or two testimonials from youth or a world community service grant recipient followed by a fund-a-need.   </w:t>
      </w:r>
    </w:p>
    <w:p w14:paraId="483F29AC" w14:textId="77777777" w:rsidR="00D56F36" w:rsidRDefault="00D56F36" w:rsidP="002839D9">
      <w:pPr>
        <w:pStyle w:val="NoSpacing"/>
        <w:rPr>
          <w:rFonts w:ascii="Book Antiqua" w:hAnsi="Book Antiqua"/>
        </w:rPr>
      </w:pPr>
    </w:p>
    <w:p w14:paraId="260B2F56" w14:textId="7FD6C0C1" w:rsidR="00D56F36" w:rsidRDefault="00D56F36" w:rsidP="006F4761">
      <w:pPr>
        <w:pStyle w:val="NoSpacing"/>
        <w:numPr>
          <w:ilvl w:val="0"/>
          <w:numId w:val="1"/>
        </w:numPr>
        <w:rPr>
          <w:rFonts w:ascii="Book Antiqua" w:hAnsi="Book Antiqua"/>
        </w:rPr>
      </w:pPr>
      <w:r>
        <w:rPr>
          <w:rFonts w:ascii="Book Antiqua" w:hAnsi="Book Antiqua"/>
        </w:rPr>
        <w:t xml:space="preserve">To </w:t>
      </w:r>
      <w:r w:rsidR="006F4761">
        <w:rPr>
          <w:rFonts w:ascii="Book Antiqua" w:hAnsi="Book Antiqua"/>
        </w:rPr>
        <w:t xml:space="preserve">emphasize </w:t>
      </w:r>
      <w:r>
        <w:rPr>
          <w:rFonts w:ascii="Book Antiqua" w:hAnsi="Book Antiqua"/>
        </w:rPr>
        <w:t xml:space="preserve">service and education about Rotary in general, consider </w:t>
      </w:r>
      <w:r w:rsidR="006F4761">
        <w:rPr>
          <w:rFonts w:ascii="Book Antiqua" w:hAnsi="Book Antiqua"/>
        </w:rPr>
        <w:t>a format that features three to five short presentations (with slides or video) of five minutes or less in rapid succession.  This is also a form of entertainment.</w:t>
      </w:r>
      <w:r w:rsidR="006602A3">
        <w:rPr>
          <w:rFonts w:ascii="Book Antiqua" w:hAnsi="Book Antiqua"/>
        </w:rPr>
        <w:t xml:space="preserve"> This can be done in a single room (seated) or allow guests to move from room to room with food and drink in a common gathering area.  You would still need to incorporate a fundraising engagement piece, either as a fund-a-need or auction, in a common area.</w:t>
      </w:r>
    </w:p>
    <w:p w14:paraId="2E22C709" w14:textId="77777777" w:rsidR="00C72514" w:rsidRDefault="00C72514" w:rsidP="002839D9">
      <w:pPr>
        <w:pStyle w:val="NoSpacing"/>
        <w:rPr>
          <w:rFonts w:ascii="Book Antiqua" w:hAnsi="Book Antiqua"/>
        </w:rPr>
      </w:pPr>
    </w:p>
    <w:p w14:paraId="5FD8803C" w14:textId="77777777" w:rsidR="0050528E" w:rsidRDefault="0050528E" w:rsidP="002839D9">
      <w:pPr>
        <w:pStyle w:val="NoSpacing"/>
        <w:rPr>
          <w:rFonts w:ascii="Book Antiqua" w:hAnsi="Book Antiqua"/>
        </w:rPr>
      </w:pPr>
    </w:p>
    <w:p w14:paraId="479A7877" w14:textId="77777777" w:rsidR="0050528E" w:rsidRDefault="0050528E" w:rsidP="002839D9">
      <w:pPr>
        <w:pStyle w:val="NoSpacing"/>
        <w:rPr>
          <w:rFonts w:ascii="Book Antiqua" w:hAnsi="Book Antiqua"/>
        </w:rPr>
      </w:pPr>
    </w:p>
    <w:p w14:paraId="65F438A8" w14:textId="090AC41C" w:rsidR="00C72514" w:rsidRDefault="0050528E" w:rsidP="002839D9">
      <w:pPr>
        <w:pStyle w:val="NoSpacing"/>
        <w:rPr>
          <w:rFonts w:ascii="Book Antiqua" w:hAnsi="Book Antiqua"/>
          <w:b/>
          <w:bCs/>
        </w:rPr>
      </w:pPr>
      <w:r w:rsidRPr="0050528E">
        <w:rPr>
          <w:rFonts w:ascii="Book Antiqua" w:hAnsi="Book Antiqua"/>
          <w:b/>
          <w:bCs/>
        </w:rPr>
        <w:lastRenderedPageBreak/>
        <w:t>Suggestions for improvement from 2025 to 2026</w:t>
      </w:r>
      <w:r w:rsidR="00BF1210">
        <w:rPr>
          <w:rFonts w:ascii="Book Antiqua" w:hAnsi="Book Antiqua"/>
          <w:b/>
          <w:bCs/>
        </w:rPr>
        <w:t xml:space="preserve"> </w:t>
      </w:r>
    </w:p>
    <w:p w14:paraId="699B18EE" w14:textId="67B2D65B" w:rsidR="0050528E" w:rsidRPr="00BF1210" w:rsidRDefault="00BF1210" w:rsidP="002839D9">
      <w:pPr>
        <w:pStyle w:val="NoSpacing"/>
        <w:rPr>
          <w:rFonts w:ascii="Book Antiqua" w:hAnsi="Book Antiqua"/>
        </w:rPr>
      </w:pPr>
      <w:r w:rsidRPr="00BF1210">
        <w:rPr>
          <w:rFonts w:ascii="Book Antiqua" w:hAnsi="Book Antiqua"/>
        </w:rPr>
        <w:t>In addition to the suggested event timeline, the following suggestions are offered:</w:t>
      </w:r>
    </w:p>
    <w:p w14:paraId="0452C50B" w14:textId="77777777" w:rsidR="00BF1210" w:rsidRDefault="00BF1210" w:rsidP="002839D9">
      <w:pPr>
        <w:pStyle w:val="NoSpacing"/>
        <w:rPr>
          <w:rFonts w:ascii="Book Antiqua" w:hAnsi="Book Antiqua"/>
          <w:b/>
          <w:bCs/>
        </w:rPr>
      </w:pPr>
    </w:p>
    <w:p w14:paraId="3C1218FA" w14:textId="422A6369" w:rsidR="0050528E" w:rsidRPr="0050528E" w:rsidRDefault="0050528E" w:rsidP="002839D9">
      <w:pPr>
        <w:pStyle w:val="NoSpacing"/>
        <w:rPr>
          <w:rFonts w:ascii="Book Antiqua" w:hAnsi="Book Antiqua"/>
          <w:b/>
          <w:bCs/>
          <w:i/>
          <w:iCs/>
        </w:rPr>
      </w:pPr>
      <w:r w:rsidRPr="0050528E">
        <w:rPr>
          <w:rFonts w:ascii="Book Antiqua" w:hAnsi="Book Antiqua"/>
          <w:b/>
          <w:bCs/>
          <w:i/>
          <w:iCs/>
        </w:rPr>
        <w:t>Event name and theme</w:t>
      </w:r>
    </w:p>
    <w:p w14:paraId="5E6D9138" w14:textId="0EB35BF8" w:rsidR="00342E1E" w:rsidRDefault="00342E1E" w:rsidP="00670DEE">
      <w:pPr>
        <w:pStyle w:val="NoSpacing"/>
        <w:numPr>
          <w:ilvl w:val="0"/>
          <w:numId w:val="2"/>
        </w:numPr>
        <w:rPr>
          <w:rFonts w:ascii="Book Antiqua" w:hAnsi="Book Antiqua"/>
        </w:rPr>
      </w:pPr>
      <w:r>
        <w:rPr>
          <w:rFonts w:ascii="Book Antiqua" w:hAnsi="Book Antiqua"/>
        </w:rPr>
        <w:t>Guests enjoy a themed party and the opportunity to dress thematically but not necessarily in costume.</w:t>
      </w:r>
    </w:p>
    <w:p w14:paraId="2EAA38E8" w14:textId="5D8BFCC9" w:rsidR="0050528E" w:rsidRDefault="0050528E" w:rsidP="00670DEE">
      <w:pPr>
        <w:pStyle w:val="NoSpacing"/>
        <w:numPr>
          <w:ilvl w:val="0"/>
          <w:numId w:val="2"/>
        </w:numPr>
        <w:rPr>
          <w:rFonts w:ascii="Book Antiqua" w:hAnsi="Book Antiqua"/>
        </w:rPr>
      </w:pPr>
      <w:r w:rsidRPr="0050528E">
        <w:rPr>
          <w:rFonts w:ascii="Book Antiqua" w:hAnsi="Book Antiqua"/>
        </w:rPr>
        <w:t>Request thoughtful review of a proposed theme and event name and branding by DEI Committee and the Oakland Rotary and Oakland Rotary Endowment boards of directors</w:t>
      </w:r>
      <w:r>
        <w:rPr>
          <w:rFonts w:ascii="Book Antiqua" w:hAnsi="Book Antiqua"/>
        </w:rPr>
        <w:t xml:space="preserve"> before promoting</w:t>
      </w:r>
      <w:r w:rsidRPr="0050528E">
        <w:rPr>
          <w:rFonts w:ascii="Book Antiqua" w:hAnsi="Book Antiqua"/>
        </w:rPr>
        <w:t>.</w:t>
      </w:r>
    </w:p>
    <w:p w14:paraId="53B702D3" w14:textId="77777777" w:rsidR="0050528E" w:rsidRDefault="0050528E" w:rsidP="002839D9">
      <w:pPr>
        <w:pStyle w:val="NoSpacing"/>
        <w:rPr>
          <w:rFonts w:ascii="Book Antiqua" w:hAnsi="Book Antiqua"/>
        </w:rPr>
      </w:pPr>
    </w:p>
    <w:p w14:paraId="64A759FD" w14:textId="77777777" w:rsidR="0050528E" w:rsidRPr="009E005A" w:rsidRDefault="0050528E" w:rsidP="002839D9">
      <w:pPr>
        <w:pStyle w:val="NoSpacing"/>
        <w:rPr>
          <w:rFonts w:ascii="Book Antiqua" w:hAnsi="Book Antiqua"/>
          <w:b/>
          <w:bCs/>
          <w:i/>
          <w:iCs/>
        </w:rPr>
      </w:pPr>
      <w:r w:rsidRPr="009E005A">
        <w:rPr>
          <w:rFonts w:ascii="Book Antiqua" w:hAnsi="Book Antiqua"/>
          <w:b/>
          <w:bCs/>
          <w:i/>
          <w:iCs/>
        </w:rPr>
        <w:t xml:space="preserve">Location/Space </w:t>
      </w:r>
    </w:p>
    <w:p w14:paraId="6DD6F5B6" w14:textId="5358B962" w:rsidR="00E73B5F" w:rsidRDefault="0050528E" w:rsidP="00670DEE">
      <w:pPr>
        <w:pStyle w:val="NoSpacing"/>
        <w:numPr>
          <w:ilvl w:val="0"/>
          <w:numId w:val="3"/>
        </w:numPr>
        <w:rPr>
          <w:rFonts w:ascii="Book Antiqua" w:hAnsi="Book Antiqua"/>
        </w:rPr>
      </w:pPr>
      <w:r>
        <w:rPr>
          <w:rFonts w:ascii="Book Antiqua" w:hAnsi="Book Antiqua"/>
        </w:rPr>
        <w:t xml:space="preserve">Secure an event space that </w:t>
      </w:r>
      <w:r w:rsidR="009E005A">
        <w:rPr>
          <w:rFonts w:ascii="Book Antiqua" w:hAnsi="Book Antiqua"/>
        </w:rPr>
        <w:t xml:space="preserve">has ample reception space and </w:t>
      </w:r>
      <w:r>
        <w:rPr>
          <w:rFonts w:ascii="Book Antiqua" w:hAnsi="Book Antiqua"/>
        </w:rPr>
        <w:t>accommodates 200 seated guests comfortably</w:t>
      </w:r>
      <w:r w:rsidR="009E005A">
        <w:rPr>
          <w:rFonts w:ascii="Book Antiqua" w:hAnsi="Book Antiqua"/>
        </w:rPr>
        <w:t xml:space="preserve">. </w:t>
      </w:r>
      <w:r w:rsidR="00342E1E">
        <w:rPr>
          <w:rFonts w:ascii="Book Antiqua" w:hAnsi="Book Antiqua"/>
        </w:rPr>
        <w:t xml:space="preserve">This will also improve </w:t>
      </w:r>
      <w:proofErr w:type="gramStart"/>
      <w:r w:rsidR="00342E1E">
        <w:rPr>
          <w:rFonts w:ascii="Book Antiqua" w:hAnsi="Book Antiqua"/>
        </w:rPr>
        <w:t>food</w:t>
      </w:r>
      <w:proofErr w:type="gramEnd"/>
      <w:r w:rsidR="00342E1E">
        <w:rPr>
          <w:rFonts w:ascii="Book Antiqua" w:hAnsi="Book Antiqua"/>
        </w:rPr>
        <w:t xml:space="preserve"> service at a seated event.</w:t>
      </w:r>
    </w:p>
    <w:p w14:paraId="64847B45" w14:textId="77777777" w:rsidR="00E73B5F" w:rsidRDefault="009E005A" w:rsidP="00670DEE">
      <w:pPr>
        <w:pStyle w:val="NoSpacing"/>
        <w:numPr>
          <w:ilvl w:val="0"/>
          <w:numId w:val="3"/>
        </w:numPr>
        <w:rPr>
          <w:rFonts w:ascii="Book Antiqua" w:hAnsi="Book Antiqua"/>
        </w:rPr>
      </w:pPr>
      <w:r>
        <w:rPr>
          <w:rFonts w:ascii="Book Antiqua" w:hAnsi="Book Antiqua"/>
        </w:rPr>
        <w:t xml:space="preserve">A space that is more square or oval than rectangular in shape is best and allows for a center stage and maximum visibility. </w:t>
      </w:r>
    </w:p>
    <w:p w14:paraId="25B75E33" w14:textId="1CA24E5E" w:rsidR="0050528E" w:rsidRDefault="009E005A" w:rsidP="00670DEE">
      <w:pPr>
        <w:pStyle w:val="NoSpacing"/>
        <w:numPr>
          <w:ilvl w:val="0"/>
          <w:numId w:val="3"/>
        </w:numPr>
        <w:rPr>
          <w:rFonts w:ascii="Book Antiqua" w:hAnsi="Book Antiqua"/>
        </w:rPr>
      </w:pPr>
      <w:r>
        <w:rPr>
          <w:rFonts w:ascii="Book Antiqua" w:hAnsi="Book Antiqua"/>
        </w:rPr>
        <w:t>Adjacent parking is important for guests’ feelings of safety and convenience.</w:t>
      </w:r>
      <w:r w:rsidR="00670DEE">
        <w:rPr>
          <w:rFonts w:ascii="Book Antiqua" w:hAnsi="Book Antiqua"/>
        </w:rPr>
        <w:t xml:space="preserve"> If providing complimentary parking, either provide the pass at check-in or send in advance.</w:t>
      </w:r>
    </w:p>
    <w:p w14:paraId="2FEA9E42" w14:textId="77777777" w:rsidR="007A319D" w:rsidRPr="007A319D" w:rsidRDefault="007A319D" w:rsidP="002839D9">
      <w:pPr>
        <w:pStyle w:val="NoSpacing"/>
        <w:rPr>
          <w:rFonts w:ascii="Book Antiqua" w:hAnsi="Book Antiqua"/>
        </w:rPr>
      </w:pPr>
    </w:p>
    <w:p w14:paraId="07959128" w14:textId="0FF65164" w:rsidR="00D16437" w:rsidRDefault="00F8413B" w:rsidP="002839D9">
      <w:pPr>
        <w:pStyle w:val="NoSpacing"/>
        <w:rPr>
          <w:rFonts w:ascii="Book Antiqua" w:hAnsi="Book Antiqua"/>
          <w:b/>
          <w:bCs/>
          <w:i/>
          <w:iCs/>
        </w:rPr>
      </w:pPr>
      <w:r>
        <w:rPr>
          <w:rFonts w:ascii="Book Antiqua" w:hAnsi="Book Antiqua"/>
          <w:b/>
          <w:bCs/>
          <w:i/>
          <w:iCs/>
        </w:rPr>
        <w:t xml:space="preserve">Guest </w:t>
      </w:r>
      <w:r w:rsidR="00D16437">
        <w:rPr>
          <w:rFonts w:ascii="Book Antiqua" w:hAnsi="Book Antiqua"/>
          <w:b/>
          <w:bCs/>
          <w:i/>
          <w:iCs/>
        </w:rPr>
        <w:t>Flow</w:t>
      </w:r>
    </w:p>
    <w:p w14:paraId="6D77386B" w14:textId="44EFAA96" w:rsidR="00D16437" w:rsidRDefault="00F8413B" w:rsidP="00670DEE">
      <w:pPr>
        <w:pStyle w:val="NoSpacing"/>
        <w:numPr>
          <w:ilvl w:val="0"/>
          <w:numId w:val="4"/>
        </w:numPr>
        <w:rPr>
          <w:rFonts w:ascii="Book Antiqua" w:hAnsi="Book Antiqua"/>
        </w:rPr>
      </w:pPr>
      <w:r>
        <w:rPr>
          <w:rFonts w:ascii="Book Antiqua" w:hAnsi="Book Antiqua"/>
        </w:rPr>
        <w:t xml:space="preserve">Red carpet, stanchions and volunteers help to guide guests to the registration desk or dinner.  Use the same </w:t>
      </w:r>
      <w:r w:rsidR="00BF1210">
        <w:rPr>
          <w:rFonts w:ascii="Book Antiqua" w:hAnsi="Book Antiqua"/>
        </w:rPr>
        <w:t xml:space="preserve">methods </w:t>
      </w:r>
      <w:r>
        <w:rPr>
          <w:rFonts w:ascii="Book Antiqua" w:hAnsi="Book Antiqua"/>
        </w:rPr>
        <w:t xml:space="preserve">to </w:t>
      </w:r>
      <w:r w:rsidR="00D16437">
        <w:rPr>
          <w:rFonts w:ascii="Book Antiqua" w:hAnsi="Book Antiqua"/>
        </w:rPr>
        <w:t>encourag</w:t>
      </w:r>
      <w:r>
        <w:rPr>
          <w:rFonts w:ascii="Book Antiqua" w:hAnsi="Book Antiqua"/>
        </w:rPr>
        <w:t>e</w:t>
      </w:r>
      <w:r w:rsidR="00D16437">
        <w:rPr>
          <w:rFonts w:ascii="Book Antiqua" w:hAnsi="Book Antiqua"/>
        </w:rPr>
        <w:t xml:space="preserve"> guests </w:t>
      </w:r>
      <w:proofErr w:type="gramStart"/>
      <w:r w:rsidR="00D16437">
        <w:rPr>
          <w:rFonts w:ascii="Book Antiqua" w:hAnsi="Book Antiqua"/>
        </w:rPr>
        <w:t>move</w:t>
      </w:r>
      <w:proofErr w:type="gramEnd"/>
      <w:r w:rsidR="00D16437">
        <w:rPr>
          <w:rFonts w:ascii="Book Antiqua" w:hAnsi="Book Antiqua"/>
        </w:rPr>
        <w:t xml:space="preserve"> about reception space and </w:t>
      </w:r>
      <w:r>
        <w:rPr>
          <w:rFonts w:ascii="Book Antiqua" w:hAnsi="Book Antiqua"/>
        </w:rPr>
        <w:t>minimize overcrowding.</w:t>
      </w:r>
    </w:p>
    <w:p w14:paraId="49C5F976" w14:textId="77777777" w:rsidR="00F8413B" w:rsidRDefault="00F8413B" w:rsidP="002839D9">
      <w:pPr>
        <w:pStyle w:val="NoSpacing"/>
        <w:rPr>
          <w:rFonts w:ascii="Book Antiqua" w:hAnsi="Book Antiqua"/>
        </w:rPr>
      </w:pPr>
    </w:p>
    <w:p w14:paraId="5886B4F1" w14:textId="0CCBF57E" w:rsidR="009E005A" w:rsidRPr="00E73B5F" w:rsidRDefault="009E005A" w:rsidP="002839D9">
      <w:pPr>
        <w:pStyle w:val="NoSpacing"/>
        <w:rPr>
          <w:rFonts w:ascii="Book Antiqua" w:hAnsi="Book Antiqua"/>
          <w:b/>
          <w:bCs/>
          <w:i/>
          <w:iCs/>
        </w:rPr>
      </w:pPr>
      <w:r w:rsidRPr="00E73B5F">
        <w:rPr>
          <w:rFonts w:ascii="Book Antiqua" w:hAnsi="Book Antiqua"/>
          <w:b/>
          <w:bCs/>
          <w:i/>
          <w:iCs/>
        </w:rPr>
        <w:t>Run of Show</w:t>
      </w:r>
    </w:p>
    <w:p w14:paraId="5F75E963" w14:textId="68CE0349" w:rsidR="009E005A" w:rsidRDefault="009E005A" w:rsidP="00BF1210">
      <w:pPr>
        <w:pStyle w:val="NoSpacing"/>
        <w:numPr>
          <w:ilvl w:val="0"/>
          <w:numId w:val="4"/>
        </w:numPr>
        <w:rPr>
          <w:rFonts w:ascii="Book Antiqua" w:hAnsi="Book Antiqua"/>
        </w:rPr>
      </w:pPr>
      <w:r>
        <w:rPr>
          <w:rFonts w:ascii="Book Antiqua" w:hAnsi="Book Antiqua"/>
        </w:rPr>
        <w:t>Complete the talking points and video or slide show 10-14 days out from event day then schedule a dress rehearsal one week out to adjust copy and timing.</w:t>
      </w:r>
      <w:r w:rsidR="00E73B5F">
        <w:rPr>
          <w:rFonts w:ascii="Book Antiqua" w:hAnsi="Book Antiqua"/>
        </w:rPr>
        <w:t xml:space="preserve">  Provide timing </w:t>
      </w:r>
      <w:r w:rsidR="00342E1E">
        <w:rPr>
          <w:rFonts w:ascii="Book Antiqua" w:hAnsi="Book Antiqua"/>
        </w:rPr>
        <w:t xml:space="preserve">cues </w:t>
      </w:r>
      <w:proofErr w:type="gramStart"/>
      <w:r w:rsidR="00E73B5F">
        <w:rPr>
          <w:rFonts w:ascii="Book Antiqua" w:hAnsi="Book Antiqua"/>
        </w:rPr>
        <w:t>to</w:t>
      </w:r>
      <w:proofErr w:type="gramEnd"/>
      <w:r w:rsidR="00E73B5F">
        <w:rPr>
          <w:rFonts w:ascii="Book Antiqua" w:hAnsi="Book Antiqua"/>
        </w:rPr>
        <w:t xml:space="preserve"> whomever manages the slide show or video.</w:t>
      </w:r>
    </w:p>
    <w:p w14:paraId="398ED078" w14:textId="768235B3" w:rsidR="00342E1E" w:rsidRDefault="00342E1E" w:rsidP="00BF1210">
      <w:pPr>
        <w:pStyle w:val="NoSpacing"/>
        <w:numPr>
          <w:ilvl w:val="0"/>
          <w:numId w:val="4"/>
        </w:numPr>
        <w:rPr>
          <w:rFonts w:ascii="Book Antiqua" w:hAnsi="Book Antiqua"/>
        </w:rPr>
      </w:pPr>
      <w:r>
        <w:rPr>
          <w:rFonts w:ascii="Book Antiqua" w:hAnsi="Book Antiqua"/>
        </w:rPr>
        <w:t>Stick to the ROS timeline set to avoid running late and guests leaving in the last half-hour</w:t>
      </w:r>
      <w:r w:rsidR="00D16437">
        <w:rPr>
          <w:rFonts w:ascii="Book Antiqua" w:hAnsi="Book Antiqua"/>
        </w:rPr>
        <w:t>, especially in the evening.</w:t>
      </w:r>
    </w:p>
    <w:p w14:paraId="36070319" w14:textId="77777777" w:rsidR="009E005A" w:rsidRDefault="009E005A" w:rsidP="002839D9">
      <w:pPr>
        <w:pStyle w:val="NoSpacing"/>
        <w:rPr>
          <w:rFonts w:ascii="Book Antiqua" w:hAnsi="Book Antiqua"/>
        </w:rPr>
      </w:pPr>
    </w:p>
    <w:p w14:paraId="3AF5F420" w14:textId="71F0A491" w:rsidR="009E005A" w:rsidRDefault="00342E1E" w:rsidP="002839D9">
      <w:pPr>
        <w:pStyle w:val="NoSpacing"/>
        <w:rPr>
          <w:rFonts w:ascii="Book Antiqua" w:hAnsi="Book Antiqua"/>
          <w:b/>
          <w:bCs/>
          <w:i/>
          <w:iCs/>
        </w:rPr>
      </w:pPr>
      <w:r w:rsidRPr="00342E1E">
        <w:rPr>
          <w:rFonts w:ascii="Book Antiqua" w:hAnsi="Book Antiqua"/>
          <w:b/>
          <w:bCs/>
          <w:i/>
          <w:iCs/>
        </w:rPr>
        <w:t>Food and Service</w:t>
      </w:r>
    </w:p>
    <w:p w14:paraId="72F9D1D9" w14:textId="0EDCFDC1" w:rsidR="00D16437" w:rsidRDefault="00F8413B" w:rsidP="00BF1210">
      <w:pPr>
        <w:pStyle w:val="NoSpacing"/>
        <w:numPr>
          <w:ilvl w:val="0"/>
          <w:numId w:val="5"/>
        </w:numPr>
        <w:rPr>
          <w:rFonts w:ascii="Book Antiqua" w:hAnsi="Book Antiqua"/>
        </w:rPr>
      </w:pPr>
      <w:r>
        <w:rPr>
          <w:rFonts w:ascii="Book Antiqua" w:hAnsi="Book Antiqua"/>
        </w:rPr>
        <w:t xml:space="preserve">Make certain the ROS includes food and beverage </w:t>
      </w:r>
      <w:proofErr w:type="gramStart"/>
      <w:r>
        <w:rPr>
          <w:rFonts w:ascii="Book Antiqua" w:hAnsi="Book Antiqua"/>
        </w:rPr>
        <w:t>service</w:t>
      </w:r>
      <w:proofErr w:type="gramEnd"/>
      <w:r>
        <w:rPr>
          <w:rFonts w:ascii="Book Antiqua" w:hAnsi="Book Antiqua"/>
        </w:rPr>
        <w:t xml:space="preserve"> and </w:t>
      </w:r>
      <w:proofErr w:type="gramStart"/>
      <w:r>
        <w:rPr>
          <w:rFonts w:ascii="Book Antiqua" w:hAnsi="Book Antiqua"/>
        </w:rPr>
        <w:t>caterer</w:t>
      </w:r>
      <w:proofErr w:type="gramEnd"/>
      <w:r>
        <w:rPr>
          <w:rFonts w:ascii="Book Antiqua" w:hAnsi="Book Antiqua"/>
        </w:rPr>
        <w:t xml:space="preserve"> can meet the timing based on the </w:t>
      </w:r>
      <w:r w:rsidR="00D16437">
        <w:rPr>
          <w:rFonts w:ascii="Book Antiqua" w:hAnsi="Book Antiqua"/>
        </w:rPr>
        <w:t>format (plated, family-style, buffet, stations).</w:t>
      </w:r>
    </w:p>
    <w:p w14:paraId="6D1847A7" w14:textId="689719A2" w:rsidR="00D16437" w:rsidRDefault="00D16437" w:rsidP="00BF1210">
      <w:pPr>
        <w:pStyle w:val="NoSpacing"/>
        <w:numPr>
          <w:ilvl w:val="0"/>
          <w:numId w:val="5"/>
        </w:numPr>
        <w:rPr>
          <w:rFonts w:ascii="Book Antiqua" w:hAnsi="Book Antiqua"/>
        </w:rPr>
      </w:pPr>
      <w:r>
        <w:rPr>
          <w:rFonts w:ascii="Book Antiqua" w:hAnsi="Book Antiqua"/>
        </w:rPr>
        <w:t xml:space="preserve">Consider placing one bottle of wine per table </w:t>
      </w:r>
      <w:r w:rsidR="00BF1210">
        <w:rPr>
          <w:rFonts w:ascii="Book Antiqua" w:hAnsi="Book Antiqua"/>
        </w:rPr>
        <w:t xml:space="preserve">during the meal </w:t>
      </w:r>
      <w:r w:rsidR="00F8413B">
        <w:rPr>
          <w:rFonts w:ascii="Book Antiqua" w:hAnsi="Book Antiqua"/>
        </w:rPr>
        <w:t>keep people seated during the formal program</w:t>
      </w:r>
      <w:r>
        <w:rPr>
          <w:rFonts w:ascii="Book Antiqua" w:hAnsi="Book Antiqua"/>
        </w:rPr>
        <w:t>.</w:t>
      </w:r>
    </w:p>
    <w:p w14:paraId="02A46760" w14:textId="77777777" w:rsidR="00F8413B" w:rsidRDefault="00F8413B" w:rsidP="002839D9">
      <w:pPr>
        <w:pStyle w:val="NoSpacing"/>
        <w:rPr>
          <w:rFonts w:ascii="Book Antiqua" w:hAnsi="Book Antiqua"/>
        </w:rPr>
      </w:pPr>
    </w:p>
    <w:p w14:paraId="5261082A" w14:textId="77777777" w:rsidR="007A319D" w:rsidRDefault="007A319D" w:rsidP="002839D9">
      <w:pPr>
        <w:pStyle w:val="NoSpacing"/>
        <w:rPr>
          <w:rFonts w:ascii="Book Antiqua" w:hAnsi="Book Antiqua"/>
          <w:b/>
          <w:bCs/>
          <w:i/>
          <w:iCs/>
        </w:rPr>
      </w:pPr>
    </w:p>
    <w:p w14:paraId="4FAEFFA0" w14:textId="6F831184" w:rsidR="00BF1210" w:rsidRDefault="007A319D" w:rsidP="002839D9">
      <w:pPr>
        <w:pStyle w:val="NoSpacing"/>
        <w:rPr>
          <w:rFonts w:ascii="Book Antiqua" w:hAnsi="Book Antiqua"/>
          <w:b/>
          <w:bCs/>
          <w:i/>
          <w:iCs/>
        </w:rPr>
      </w:pPr>
      <w:r>
        <w:rPr>
          <w:rFonts w:ascii="Book Antiqua" w:hAnsi="Book Antiqua"/>
          <w:b/>
          <w:bCs/>
          <w:i/>
          <w:iCs/>
        </w:rPr>
        <w:t>Sponsor and Ticket Sales</w:t>
      </w:r>
    </w:p>
    <w:p w14:paraId="202C60ED" w14:textId="62AB1E39" w:rsidR="007A319D" w:rsidRPr="007A319D" w:rsidRDefault="007A319D" w:rsidP="007A319D">
      <w:pPr>
        <w:pStyle w:val="NoSpacing"/>
        <w:numPr>
          <w:ilvl w:val="0"/>
          <w:numId w:val="10"/>
        </w:numPr>
        <w:rPr>
          <w:rFonts w:ascii="Book Antiqua" w:hAnsi="Book Antiqua"/>
          <w:b/>
          <w:bCs/>
          <w:i/>
          <w:iCs/>
        </w:rPr>
      </w:pPr>
      <w:r>
        <w:rPr>
          <w:rFonts w:ascii="Book Antiqua" w:hAnsi="Book Antiqua"/>
        </w:rPr>
        <w:t>End sponsorships six to eight weeks out</w:t>
      </w:r>
      <w:r w:rsidR="00D41DA4">
        <w:rPr>
          <w:rFonts w:ascii="Book Antiqua" w:hAnsi="Book Antiqua"/>
        </w:rPr>
        <w:t xml:space="preserve"> </w:t>
      </w:r>
      <w:proofErr w:type="gramStart"/>
      <w:r w:rsidR="00D41DA4">
        <w:rPr>
          <w:rFonts w:ascii="Book Antiqua" w:hAnsi="Book Antiqua"/>
        </w:rPr>
        <w:t>from</w:t>
      </w:r>
      <w:proofErr w:type="gramEnd"/>
      <w:r w:rsidR="00D41DA4">
        <w:rPr>
          <w:rFonts w:ascii="Book Antiqua" w:hAnsi="Book Antiqua"/>
        </w:rPr>
        <w:t xml:space="preserve"> the event</w:t>
      </w:r>
      <w:r>
        <w:rPr>
          <w:rFonts w:ascii="Book Antiqua" w:hAnsi="Book Antiqua"/>
        </w:rPr>
        <w:t>, especially for those involving four to eight seats</w:t>
      </w:r>
    </w:p>
    <w:p w14:paraId="4A292CD5" w14:textId="6D42A35F" w:rsidR="007A319D" w:rsidRPr="00D41DA4" w:rsidRDefault="007A319D" w:rsidP="002839D9">
      <w:pPr>
        <w:pStyle w:val="NoSpacing"/>
        <w:numPr>
          <w:ilvl w:val="0"/>
          <w:numId w:val="10"/>
        </w:numPr>
        <w:rPr>
          <w:rFonts w:ascii="Book Antiqua" w:hAnsi="Book Antiqua"/>
          <w:b/>
          <w:bCs/>
          <w:i/>
          <w:iCs/>
        </w:rPr>
      </w:pPr>
      <w:r w:rsidRPr="00D41DA4">
        <w:rPr>
          <w:rFonts w:ascii="Book Antiqua" w:hAnsi="Book Antiqua"/>
        </w:rPr>
        <w:t xml:space="preserve">End individual ticket sales two weeks out </w:t>
      </w:r>
      <w:proofErr w:type="gramStart"/>
      <w:r w:rsidRPr="00D41DA4">
        <w:rPr>
          <w:rFonts w:ascii="Book Antiqua" w:hAnsi="Book Antiqua"/>
        </w:rPr>
        <w:t>from</w:t>
      </w:r>
      <w:proofErr w:type="gramEnd"/>
      <w:r w:rsidRPr="00D41DA4">
        <w:rPr>
          <w:rFonts w:ascii="Book Antiqua" w:hAnsi="Book Antiqua"/>
        </w:rPr>
        <w:t xml:space="preserve"> the event date to avoid reaching capacity</w:t>
      </w:r>
      <w:r w:rsidR="00D41DA4" w:rsidRPr="00D41DA4">
        <w:rPr>
          <w:rFonts w:ascii="Book Antiqua" w:hAnsi="Book Antiqua"/>
        </w:rPr>
        <w:t>.</w:t>
      </w:r>
    </w:p>
    <w:p w14:paraId="4ECABED0" w14:textId="77777777" w:rsidR="007A319D" w:rsidRDefault="007A319D" w:rsidP="002839D9">
      <w:pPr>
        <w:pStyle w:val="NoSpacing"/>
        <w:rPr>
          <w:rFonts w:ascii="Book Antiqua" w:hAnsi="Book Antiqua"/>
          <w:b/>
          <w:bCs/>
          <w:i/>
          <w:iCs/>
        </w:rPr>
      </w:pPr>
    </w:p>
    <w:p w14:paraId="429AAACC" w14:textId="75FA14AC" w:rsidR="00F8413B" w:rsidRPr="00F8413B" w:rsidRDefault="00F8413B" w:rsidP="002839D9">
      <w:pPr>
        <w:pStyle w:val="NoSpacing"/>
        <w:rPr>
          <w:rFonts w:ascii="Book Antiqua" w:hAnsi="Book Antiqua"/>
          <w:b/>
          <w:bCs/>
          <w:i/>
          <w:iCs/>
        </w:rPr>
      </w:pPr>
      <w:r w:rsidRPr="00F8413B">
        <w:rPr>
          <w:rFonts w:ascii="Book Antiqua" w:hAnsi="Book Antiqua"/>
          <w:b/>
          <w:bCs/>
          <w:i/>
          <w:iCs/>
        </w:rPr>
        <w:t>Sponsor Recognition</w:t>
      </w:r>
    </w:p>
    <w:p w14:paraId="291D9B49" w14:textId="3ABE7AB1" w:rsidR="00F8413B" w:rsidRDefault="00F8413B" w:rsidP="00BF1210">
      <w:pPr>
        <w:pStyle w:val="NoSpacing"/>
        <w:numPr>
          <w:ilvl w:val="0"/>
          <w:numId w:val="6"/>
        </w:numPr>
        <w:rPr>
          <w:rFonts w:ascii="Book Antiqua" w:hAnsi="Book Antiqua"/>
        </w:rPr>
      </w:pPr>
      <w:r>
        <w:rPr>
          <w:rFonts w:ascii="Book Antiqua" w:hAnsi="Book Antiqua"/>
        </w:rPr>
        <w:t>Add sponsors (names or logos with active links) to Rotary website and, if using, auction website.</w:t>
      </w:r>
    </w:p>
    <w:p w14:paraId="17B55232" w14:textId="3B39F921" w:rsidR="00F8413B" w:rsidRDefault="00F8413B" w:rsidP="00BF1210">
      <w:pPr>
        <w:pStyle w:val="NoSpacing"/>
        <w:numPr>
          <w:ilvl w:val="0"/>
          <w:numId w:val="6"/>
        </w:numPr>
        <w:rPr>
          <w:rFonts w:ascii="Book Antiqua" w:hAnsi="Book Antiqua"/>
        </w:rPr>
      </w:pPr>
      <w:r>
        <w:rPr>
          <w:rFonts w:ascii="Book Antiqua" w:hAnsi="Book Antiqua"/>
        </w:rPr>
        <w:t xml:space="preserve">Spend more </w:t>
      </w:r>
      <w:r w:rsidR="00670DEE">
        <w:rPr>
          <w:rFonts w:ascii="Book Antiqua" w:hAnsi="Book Antiqua"/>
        </w:rPr>
        <w:t xml:space="preserve">time </w:t>
      </w:r>
      <w:r>
        <w:rPr>
          <w:rFonts w:ascii="Book Antiqua" w:hAnsi="Book Antiqua"/>
        </w:rPr>
        <w:t xml:space="preserve">during </w:t>
      </w:r>
      <w:r w:rsidR="00670DEE">
        <w:rPr>
          <w:rFonts w:ascii="Book Antiqua" w:hAnsi="Book Antiqua"/>
        </w:rPr>
        <w:t xml:space="preserve">the </w:t>
      </w:r>
      <w:r>
        <w:rPr>
          <w:rFonts w:ascii="Book Antiqua" w:hAnsi="Book Antiqua"/>
        </w:rPr>
        <w:t>formal program to acknowledge sponsors verbally.</w:t>
      </w:r>
    </w:p>
    <w:p w14:paraId="1F6B6A70" w14:textId="77777777" w:rsidR="00D16437" w:rsidRDefault="00D16437" w:rsidP="002839D9">
      <w:pPr>
        <w:pStyle w:val="NoSpacing"/>
        <w:rPr>
          <w:rFonts w:ascii="Book Antiqua" w:hAnsi="Book Antiqua"/>
        </w:rPr>
      </w:pPr>
    </w:p>
    <w:p w14:paraId="6589CEC1" w14:textId="3B9A9CF8" w:rsidR="00D16437" w:rsidRDefault="00F8413B" w:rsidP="002839D9">
      <w:pPr>
        <w:pStyle w:val="NoSpacing"/>
        <w:rPr>
          <w:rFonts w:ascii="Book Antiqua" w:hAnsi="Book Antiqua"/>
        </w:rPr>
      </w:pPr>
      <w:r w:rsidRPr="00F8413B">
        <w:rPr>
          <w:rFonts w:ascii="Book Antiqua" w:hAnsi="Book Antiqua"/>
          <w:b/>
          <w:bCs/>
          <w:i/>
          <w:iCs/>
        </w:rPr>
        <w:t>Guest Communication</w:t>
      </w:r>
    </w:p>
    <w:p w14:paraId="09EE8065" w14:textId="5C4C6268" w:rsidR="00F8413B" w:rsidRDefault="00F8413B" w:rsidP="00BF1210">
      <w:pPr>
        <w:pStyle w:val="NoSpacing"/>
        <w:numPr>
          <w:ilvl w:val="0"/>
          <w:numId w:val="7"/>
        </w:numPr>
        <w:rPr>
          <w:rFonts w:ascii="Book Antiqua" w:hAnsi="Book Antiqua"/>
        </w:rPr>
      </w:pPr>
      <w:r>
        <w:rPr>
          <w:rFonts w:ascii="Book Antiqua" w:hAnsi="Book Antiqua"/>
        </w:rPr>
        <w:t xml:space="preserve">Use multiple channels to communicate ‘what to expect’ at </w:t>
      </w:r>
      <w:proofErr w:type="gramStart"/>
      <w:r>
        <w:rPr>
          <w:rFonts w:ascii="Book Antiqua" w:hAnsi="Book Antiqua"/>
        </w:rPr>
        <w:t>event</w:t>
      </w:r>
      <w:proofErr w:type="gramEnd"/>
      <w:r w:rsidR="00670DEE">
        <w:rPr>
          <w:rFonts w:ascii="Book Antiqua" w:hAnsi="Book Antiqua"/>
        </w:rPr>
        <w:t>, such parking details, food service, bringing a credit card with a magnetic stripe</w:t>
      </w:r>
      <w:r w:rsidR="00BF1210">
        <w:rPr>
          <w:rFonts w:ascii="Book Antiqua" w:hAnsi="Book Antiqua"/>
        </w:rPr>
        <w:t xml:space="preserve">: </w:t>
      </w:r>
      <w:r w:rsidR="00670DEE">
        <w:rPr>
          <w:rFonts w:ascii="Book Antiqua" w:hAnsi="Book Antiqua"/>
        </w:rPr>
        <w:t>a written note one week out, followed by two emails and a call or text the day before.</w:t>
      </w:r>
    </w:p>
    <w:p w14:paraId="6D99D341" w14:textId="789673EB" w:rsidR="00670DEE" w:rsidRPr="00670DEE" w:rsidRDefault="00670DEE" w:rsidP="00BF1210">
      <w:pPr>
        <w:pStyle w:val="NoSpacing"/>
        <w:numPr>
          <w:ilvl w:val="0"/>
          <w:numId w:val="7"/>
        </w:numPr>
        <w:rPr>
          <w:rFonts w:ascii="Book Antiqua" w:hAnsi="Book Antiqua"/>
        </w:rPr>
      </w:pPr>
      <w:r>
        <w:rPr>
          <w:rFonts w:ascii="Book Antiqua" w:hAnsi="Book Antiqua"/>
        </w:rPr>
        <w:t xml:space="preserve">If conducting an auction or fund-a-need, email all sponsors and guests four – six weeks out to obtain guests’ names, email, mailing address and zip code.  </w:t>
      </w:r>
    </w:p>
    <w:p w14:paraId="189DE8CD" w14:textId="77777777" w:rsidR="00342E1E" w:rsidRDefault="00342E1E" w:rsidP="002839D9">
      <w:pPr>
        <w:pStyle w:val="NoSpacing"/>
        <w:rPr>
          <w:rFonts w:ascii="Book Antiqua" w:hAnsi="Book Antiqua"/>
        </w:rPr>
      </w:pPr>
    </w:p>
    <w:p w14:paraId="6B8F6949" w14:textId="3EE02180" w:rsidR="00342E1E" w:rsidRPr="00BF1210" w:rsidRDefault="00670DEE" w:rsidP="002839D9">
      <w:pPr>
        <w:pStyle w:val="NoSpacing"/>
        <w:rPr>
          <w:rFonts w:ascii="Book Antiqua" w:hAnsi="Book Antiqua"/>
          <w:b/>
          <w:bCs/>
          <w:i/>
          <w:iCs/>
        </w:rPr>
      </w:pPr>
      <w:r w:rsidRPr="00BF1210">
        <w:rPr>
          <w:rFonts w:ascii="Book Antiqua" w:hAnsi="Book Antiqua"/>
          <w:b/>
          <w:bCs/>
          <w:i/>
          <w:iCs/>
        </w:rPr>
        <w:t>Auction Database</w:t>
      </w:r>
    </w:p>
    <w:p w14:paraId="324EDEAC" w14:textId="2FCC1DBB" w:rsidR="00670DEE" w:rsidRDefault="00670DEE" w:rsidP="00BF1210">
      <w:pPr>
        <w:pStyle w:val="NoSpacing"/>
        <w:numPr>
          <w:ilvl w:val="0"/>
          <w:numId w:val="8"/>
        </w:numPr>
        <w:rPr>
          <w:rFonts w:ascii="Book Antiqua" w:hAnsi="Book Antiqua"/>
        </w:rPr>
      </w:pPr>
      <w:r>
        <w:rPr>
          <w:rFonts w:ascii="Book Antiqua" w:hAnsi="Book Antiqua"/>
        </w:rPr>
        <w:t xml:space="preserve">The database can be used for multiple aspects of the event, so the subcommittee and members doing data entry and guest registration </w:t>
      </w:r>
      <w:r w:rsidR="00BF1210">
        <w:rPr>
          <w:rFonts w:ascii="Book Antiqua" w:hAnsi="Book Antiqua"/>
        </w:rPr>
        <w:t xml:space="preserve">need at least one </w:t>
      </w:r>
      <w:r>
        <w:rPr>
          <w:rFonts w:ascii="Book Antiqua" w:hAnsi="Book Antiqua"/>
        </w:rPr>
        <w:t xml:space="preserve">training </w:t>
      </w:r>
      <w:r w:rsidR="00BF1210">
        <w:rPr>
          <w:rFonts w:ascii="Book Antiqua" w:hAnsi="Book Antiqua"/>
        </w:rPr>
        <w:t xml:space="preserve">session </w:t>
      </w:r>
      <w:r>
        <w:rPr>
          <w:rFonts w:ascii="Book Antiqua" w:hAnsi="Book Antiqua"/>
        </w:rPr>
        <w:t>to maximize its use.</w:t>
      </w:r>
    </w:p>
    <w:p w14:paraId="2C292666" w14:textId="0CC88B51" w:rsidR="00BF1210" w:rsidRDefault="00BF1210" w:rsidP="00BF1210">
      <w:pPr>
        <w:pStyle w:val="NoSpacing"/>
        <w:numPr>
          <w:ilvl w:val="0"/>
          <w:numId w:val="8"/>
        </w:numPr>
        <w:rPr>
          <w:rFonts w:ascii="Book Antiqua" w:hAnsi="Book Antiqua"/>
        </w:rPr>
      </w:pPr>
      <w:r>
        <w:rPr>
          <w:rFonts w:ascii="Book Antiqua" w:hAnsi="Book Antiqua"/>
        </w:rPr>
        <w:t xml:space="preserve">Enter tickets or sponsorships paid by </w:t>
      </w:r>
      <w:proofErr w:type="gramStart"/>
      <w:r>
        <w:rPr>
          <w:rFonts w:ascii="Book Antiqua" w:hAnsi="Book Antiqua"/>
        </w:rPr>
        <w:t>check</w:t>
      </w:r>
      <w:proofErr w:type="gramEnd"/>
      <w:r>
        <w:rPr>
          <w:rFonts w:ascii="Book Antiqua" w:hAnsi="Book Antiqua"/>
        </w:rPr>
        <w:t xml:space="preserve"> into the database, not just online purchases.</w:t>
      </w:r>
    </w:p>
    <w:p w14:paraId="38F9295B" w14:textId="11A93F25" w:rsidR="00BF1210" w:rsidRDefault="00BF1210" w:rsidP="00BF1210">
      <w:pPr>
        <w:pStyle w:val="NoSpacing"/>
        <w:numPr>
          <w:ilvl w:val="0"/>
          <w:numId w:val="8"/>
        </w:numPr>
        <w:rPr>
          <w:rFonts w:ascii="Book Antiqua" w:hAnsi="Book Antiqua"/>
        </w:rPr>
      </w:pPr>
      <w:r>
        <w:rPr>
          <w:rFonts w:ascii="Book Antiqua" w:hAnsi="Book Antiqua"/>
        </w:rPr>
        <w:t>Add auction items and types of orders (sales) in advance of event.</w:t>
      </w:r>
    </w:p>
    <w:p w14:paraId="1860EF7F" w14:textId="3913A0EA" w:rsidR="00BF1210" w:rsidRPr="00342E1E" w:rsidRDefault="00BF1210" w:rsidP="00BF1210">
      <w:pPr>
        <w:pStyle w:val="NoSpacing"/>
        <w:numPr>
          <w:ilvl w:val="0"/>
          <w:numId w:val="8"/>
        </w:numPr>
        <w:rPr>
          <w:rFonts w:ascii="Book Antiqua" w:hAnsi="Book Antiqua"/>
        </w:rPr>
      </w:pPr>
      <w:r>
        <w:rPr>
          <w:rFonts w:ascii="Book Antiqua" w:hAnsi="Book Antiqua"/>
        </w:rPr>
        <w:t>Ensure ticket sales add the service fees as an option for the donor/guest to pay.</w:t>
      </w:r>
    </w:p>
    <w:p w14:paraId="6A41B1EF" w14:textId="77777777" w:rsidR="0050528E" w:rsidRPr="0050528E" w:rsidRDefault="0050528E" w:rsidP="002839D9">
      <w:pPr>
        <w:pStyle w:val="NoSpacing"/>
        <w:rPr>
          <w:rFonts w:ascii="Book Antiqua" w:hAnsi="Book Antiqua"/>
        </w:rPr>
      </w:pPr>
    </w:p>
    <w:p w14:paraId="1C997625" w14:textId="25775574" w:rsidR="002839D9" w:rsidRPr="007A319D" w:rsidRDefault="00BF1210" w:rsidP="002839D9">
      <w:pPr>
        <w:pStyle w:val="NoSpacing"/>
        <w:rPr>
          <w:rFonts w:ascii="Book Antiqua" w:hAnsi="Book Antiqua"/>
          <w:b/>
          <w:bCs/>
          <w:i/>
          <w:iCs/>
        </w:rPr>
      </w:pPr>
      <w:r w:rsidRPr="007A319D">
        <w:rPr>
          <w:rFonts w:ascii="Book Antiqua" w:hAnsi="Book Antiqua"/>
          <w:b/>
          <w:bCs/>
          <w:i/>
          <w:iCs/>
        </w:rPr>
        <w:t>Guest Check-In/</w:t>
      </w:r>
      <w:r w:rsidR="00401736" w:rsidRPr="007A319D">
        <w:rPr>
          <w:rFonts w:ascii="Book Antiqua" w:hAnsi="Book Antiqua"/>
          <w:b/>
          <w:bCs/>
          <w:i/>
          <w:iCs/>
        </w:rPr>
        <w:t xml:space="preserve">Check-Out </w:t>
      </w:r>
    </w:p>
    <w:p w14:paraId="458343D6" w14:textId="77777777" w:rsidR="00BF1210" w:rsidRDefault="00BF1210" w:rsidP="00BF1210">
      <w:pPr>
        <w:pStyle w:val="NoSpacing"/>
        <w:numPr>
          <w:ilvl w:val="0"/>
          <w:numId w:val="9"/>
        </w:numPr>
        <w:rPr>
          <w:rFonts w:ascii="Book Antiqua" w:hAnsi="Book Antiqua"/>
        </w:rPr>
      </w:pPr>
      <w:r>
        <w:rPr>
          <w:rFonts w:ascii="Book Antiqua" w:hAnsi="Book Antiqua"/>
        </w:rPr>
        <w:t>Seating assignments are completed the day before the event and sure to change, but you need to put guest names and table assignments on the printed program if you are using bidder numbers for an auction or fund-a-need.</w:t>
      </w:r>
    </w:p>
    <w:p w14:paraId="5EFE5666" w14:textId="6CE9EB89" w:rsidR="00401736" w:rsidRDefault="00401736" w:rsidP="00BF1210">
      <w:pPr>
        <w:pStyle w:val="NoSpacing"/>
        <w:numPr>
          <w:ilvl w:val="0"/>
          <w:numId w:val="9"/>
        </w:numPr>
        <w:rPr>
          <w:rFonts w:ascii="Book Antiqua" w:hAnsi="Book Antiqua"/>
        </w:rPr>
      </w:pPr>
      <w:r>
        <w:rPr>
          <w:rFonts w:ascii="Book Antiqua" w:hAnsi="Book Antiqua"/>
        </w:rPr>
        <w:t xml:space="preserve">Provide a detailed check-in procedure checklist for volunteers.  </w:t>
      </w:r>
    </w:p>
    <w:p w14:paraId="37CAA2F9" w14:textId="4FD42280" w:rsidR="00401736" w:rsidRDefault="00401736" w:rsidP="00401736">
      <w:pPr>
        <w:pStyle w:val="NoSpacing"/>
        <w:numPr>
          <w:ilvl w:val="1"/>
          <w:numId w:val="9"/>
        </w:numPr>
        <w:rPr>
          <w:rFonts w:ascii="Book Antiqua" w:hAnsi="Book Antiqua"/>
        </w:rPr>
      </w:pPr>
      <w:r>
        <w:rPr>
          <w:rFonts w:ascii="Book Antiqua" w:hAnsi="Book Antiqua"/>
        </w:rPr>
        <w:t xml:space="preserve">Review the procedure checklist at a </w:t>
      </w:r>
      <w:proofErr w:type="gramStart"/>
      <w:r>
        <w:rPr>
          <w:rFonts w:ascii="Book Antiqua" w:hAnsi="Book Antiqua"/>
        </w:rPr>
        <w:t>training one-two days</w:t>
      </w:r>
      <w:proofErr w:type="gramEnd"/>
      <w:r>
        <w:rPr>
          <w:rFonts w:ascii="Book Antiqua" w:hAnsi="Book Antiqua"/>
        </w:rPr>
        <w:t xml:space="preserve"> before and then one-hour before guests arrive.</w:t>
      </w:r>
    </w:p>
    <w:p w14:paraId="77400211" w14:textId="1FE0AE80" w:rsidR="00401736" w:rsidRDefault="00401736" w:rsidP="00401736">
      <w:pPr>
        <w:pStyle w:val="NoSpacing"/>
        <w:numPr>
          <w:ilvl w:val="1"/>
          <w:numId w:val="9"/>
        </w:numPr>
        <w:rPr>
          <w:rFonts w:ascii="Book Antiqua" w:hAnsi="Book Antiqua"/>
        </w:rPr>
      </w:pPr>
      <w:r>
        <w:rPr>
          <w:rFonts w:ascii="Book Antiqua" w:hAnsi="Book Antiqua"/>
        </w:rPr>
        <w:t xml:space="preserve">Include common issues that arise, such walk-up guests, refusal to give credit </w:t>
      </w:r>
      <w:proofErr w:type="gramStart"/>
      <w:r>
        <w:rPr>
          <w:rFonts w:ascii="Book Antiqua" w:hAnsi="Book Antiqua"/>
        </w:rPr>
        <w:t>card</w:t>
      </w:r>
      <w:proofErr w:type="gramEnd"/>
      <w:r>
        <w:rPr>
          <w:rFonts w:ascii="Book Antiqua" w:hAnsi="Book Antiqua"/>
        </w:rPr>
        <w:t xml:space="preserve"> or </w:t>
      </w:r>
      <w:proofErr w:type="gramStart"/>
      <w:r>
        <w:rPr>
          <w:rFonts w:ascii="Book Antiqua" w:hAnsi="Book Antiqua"/>
        </w:rPr>
        <w:t>email</w:t>
      </w:r>
      <w:proofErr w:type="gramEnd"/>
      <w:r>
        <w:rPr>
          <w:rFonts w:ascii="Book Antiqua" w:hAnsi="Book Antiqua"/>
        </w:rPr>
        <w:t>.</w:t>
      </w:r>
    </w:p>
    <w:p w14:paraId="1B160B38" w14:textId="45FC4F4C" w:rsidR="00BF1210" w:rsidRDefault="00BF1210" w:rsidP="00BF1210">
      <w:pPr>
        <w:pStyle w:val="NoSpacing"/>
        <w:numPr>
          <w:ilvl w:val="0"/>
          <w:numId w:val="9"/>
        </w:numPr>
        <w:rPr>
          <w:rFonts w:ascii="Book Antiqua" w:hAnsi="Book Antiqua"/>
        </w:rPr>
      </w:pPr>
      <w:r>
        <w:rPr>
          <w:rFonts w:ascii="Book Antiqua" w:hAnsi="Book Antiqua"/>
        </w:rPr>
        <w:t xml:space="preserve">You need at least four people </w:t>
      </w:r>
      <w:r w:rsidR="00401736">
        <w:rPr>
          <w:rFonts w:ascii="Book Antiqua" w:hAnsi="Book Antiqua"/>
        </w:rPr>
        <w:t>for guest check-in</w:t>
      </w:r>
      <w:r>
        <w:rPr>
          <w:rFonts w:ascii="Book Antiqua" w:hAnsi="Book Antiqua"/>
        </w:rPr>
        <w:t xml:space="preserve"> plus one person to troubleshoot issues</w:t>
      </w:r>
      <w:r w:rsidR="002A643C">
        <w:rPr>
          <w:rFonts w:ascii="Book Antiqua" w:hAnsi="Book Antiqua"/>
        </w:rPr>
        <w:t xml:space="preserve"> if doing check-in grouped alphabetically by last name.</w:t>
      </w:r>
    </w:p>
    <w:p w14:paraId="15C0DAB3" w14:textId="32EA8685" w:rsidR="00D41DA4" w:rsidRDefault="00D41DA4" w:rsidP="00BF1210">
      <w:pPr>
        <w:pStyle w:val="NoSpacing"/>
        <w:numPr>
          <w:ilvl w:val="0"/>
          <w:numId w:val="9"/>
        </w:numPr>
        <w:rPr>
          <w:rFonts w:ascii="Book Antiqua" w:hAnsi="Book Antiqua"/>
        </w:rPr>
      </w:pPr>
      <w:r>
        <w:rPr>
          <w:rFonts w:ascii="Book Antiqua" w:hAnsi="Book Antiqua"/>
        </w:rPr>
        <w:t>Add one empty table or equivalent seats in pairs for walk-up guests.</w:t>
      </w:r>
    </w:p>
    <w:p w14:paraId="6BFC16DE" w14:textId="76050132" w:rsidR="00D41DA4" w:rsidRDefault="00D41DA4" w:rsidP="00BF1210">
      <w:pPr>
        <w:pStyle w:val="NoSpacing"/>
        <w:numPr>
          <w:ilvl w:val="0"/>
          <w:numId w:val="9"/>
        </w:numPr>
        <w:rPr>
          <w:rFonts w:ascii="Book Antiqua" w:hAnsi="Book Antiqua"/>
        </w:rPr>
      </w:pPr>
      <w:r>
        <w:rPr>
          <w:rFonts w:ascii="Book Antiqua" w:hAnsi="Book Antiqua"/>
        </w:rPr>
        <w:t xml:space="preserve">At the end of the event, assign a member of </w:t>
      </w:r>
      <w:proofErr w:type="gramStart"/>
      <w:r>
        <w:rPr>
          <w:rFonts w:ascii="Book Antiqua" w:hAnsi="Book Antiqua"/>
        </w:rPr>
        <w:t>database</w:t>
      </w:r>
      <w:proofErr w:type="gramEnd"/>
      <w:r>
        <w:rPr>
          <w:rFonts w:ascii="Book Antiqua" w:hAnsi="Book Antiqua"/>
        </w:rPr>
        <w:t xml:space="preserve"> subcommittee to collect all paperwork (e.g., receipts, bidder paddles, auction worksheets, fund-a-need worksheets) and be responsible for checking out guests who made a gift/purchase.  </w:t>
      </w:r>
    </w:p>
    <w:p w14:paraId="75549EDA" w14:textId="77777777" w:rsidR="002839D9" w:rsidRPr="002839D9" w:rsidRDefault="002839D9" w:rsidP="002839D9">
      <w:pPr>
        <w:pStyle w:val="NoSpacing"/>
        <w:rPr>
          <w:rFonts w:ascii="Book Antiqua" w:hAnsi="Book Antiqua"/>
        </w:rPr>
      </w:pPr>
    </w:p>
    <w:sectPr w:rsidR="002839D9" w:rsidRPr="002839D9" w:rsidSect="00670DEE">
      <w:headerReference w:type="default" r:id="rId7"/>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CC24" w14:textId="77777777" w:rsidR="0050528E" w:rsidRDefault="0050528E" w:rsidP="0050528E">
      <w:pPr>
        <w:spacing w:after="0" w:line="240" w:lineRule="auto"/>
      </w:pPr>
      <w:r>
        <w:separator/>
      </w:r>
    </w:p>
  </w:endnote>
  <w:endnote w:type="continuationSeparator" w:id="0">
    <w:p w14:paraId="3B25548D" w14:textId="77777777" w:rsidR="0050528E" w:rsidRDefault="0050528E" w:rsidP="0050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003130"/>
      <w:docPartObj>
        <w:docPartGallery w:val="Page Numbers (Bottom of Page)"/>
        <w:docPartUnique/>
      </w:docPartObj>
    </w:sdtPr>
    <w:sdtEndPr>
      <w:rPr>
        <w:noProof/>
      </w:rPr>
    </w:sdtEndPr>
    <w:sdtContent>
      <w:p w14:paraId="2C598F24" w14:textId="150DB8F8" w:rsidR="00BF1210" w:rsidRDefault="00BF12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E994C7" w14:textId="77777777" w:rsidR="00BF1210" w:rsidRDefault="00BF1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B59C" w14:textId="77777777" w:rsidR="0050528E" w:rsidRDefault="0050528E" w:rsidP="0050528E">
      <w:pPr>
        <w:spacing w:after="0" w:line="240" w:lineRule="auto"/>
      </w:pPr>
      <w:r>
        <w:separator/>
      </w:r>
    </w:p>
  </w:footnote>
  <w:footnote w:type="continuationSeparator" w:id="0">
    <w:p w14:paraId="2AD04E15" w14:textId="77777777" w:rsidR="0050528E" w:rsidRDefault="0050528E" w:rsidP="00505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F7AF" w14:textId="2576F994" w:rsidR="0050528E" w:rsidRPr="0050528E" w:rsidRDefault="0050528E" w:rsidP="0050528E">
    <w:pPr>
      <w:pStyle w:val="Header"/>
      <w:jc w:val="center"/>
      <w:rPr>
        <w:b/>
        <w:bCs/>
        <w:sz w:val="28"/>
        <w:szCs w:val="28"/>
      </w:rPr>
    </w:pPr>
    <w:r w:rsidRPr="0050528E">
      <w:rPr>
        <w:b/>
        <w:bCs/>
        <w:sz w:val="28"/>
        <w:szCs w:val="28"/>
      </w:rPr>
      <w:t>Rotary Spring Fundraiser</w:t>
    </w:r>
    <w:r>
      <w:rPr>
        <w:b/>
        <w:bCs/>
        <w:sz w:val="28"/>
        <w:szCs w:val="28"/>
      </w:rPr>
      <w:t xml:space="preserve">: Considerations Moving </w:t>
    </w:r>
    <w:proofErr w:type="spellStart"/>
    <w:r>
      <w:rPr>
        <w:b/>
        <w:bCs/>
        <w:sz w:val="28"/>
        <w:szCs w:val="28"/>
      </w:rPr>
      <w:t>Foward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460A"/>
    <w:multiLevelType w:val="hybridMultilevel"/>
    <w:tmpl w:val="5220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C55C7"/>
    <w:multiLevelType w:val="hybridMultilevel"/>
    <w:tmpl w:val="F8E0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F15E7"/>
    <w:multiLevelType w:val="hybridMultilevel"/>
    <w:tmpl w:val="309C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94EF5"/>
    <w:multiLevelType w:val="hybridMultilevel"/>
    <w:tmpl w:val="AB8E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3A35DF"/>
    <w:multiLevelType w:val="hybridMultilevel"/>
    <w:tmpl w:val="7924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A80A52"/>
    <w:multiLevelType w:val="hybridMultilevel"/>
    <w:tmpl w:val="2F48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4511B5"/>
    <w:multiLevelType w:val="hybridMultilevel"/>
    <w:tmpl w:val="0DA01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E585A"/>
    <w:multiLevelType w:val="hybridMultilevel"/>
    <w:tmpl w:val="991E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D0C8A"/>
    <w:multiLevelType w:val="hybridMultilevel"/>
    <w:tmpl w:val="58DC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C76CA"/>
    <w:multiLevelType w:val="hybridMultilevel"/>
    <w:tmpl w:val="FC58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904799">
    <w:abstractNumId w:val="2"/>
  </w:num>
  <w:num w:numId="2" w16cid:durableId="429592032">
    <w:abstractNumId w:val="1"/>
  </w:num>
  <w:num w:numId="3" w16cid:durableId="2113629257">
    <w:abstractNumId w:val="0"/>
  </w:num>
  <w:num w:numId="4" w16cid:durableId="1089615372">
    <w:abstractNumId w:val="4"/>
  </w:num>
  <w:num w:numId="5" w16cid:durableId="1255628513">
    <w:abstractNumId w:val="3"/>
  </w:num>
  <w:num w:numId="6" w16cid:durableId="559511892">
    <w:abstractNumId w:val="8"/>
  </w:num>
  <w:num w:numId="7" w16cid:durableId="317078507">
    <w:abstractNumId w:val="9"/>
  </w:num>
  <w:num w:numId="8" w16cid:durableId="1397438912">
    <w:abstractNumId w:val="5"/>
  </w:num>
  <w:num w:numId="9" w16cid:durableId="1432093084">
    <w:abstractNumId w:val="6"/>
  </w:num>
  <w:num w:numId="10" w16cid:durableId="2333929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D9"/>
    <w:rsid w:val="002839D9"/>
    <w:rsid w:val="002A643C"/>
    <w:rsid w:val="00312C2E"/>
    <w:rsid w:val="00342E1E"/>
    <w:rsid w:val="00401736"/>
    <w:rsid w:val="0050528E"/>
    <w:rsid w:val="00616005"/>
    <w:rsid w:val="006602A3"/>
    <w:rsid w:val="00670DEE"/>
    <w:rsid w:val="006F4761"/>
    <w:rsid w:val="007A319D"/>
    <w:rsid w:val="009E005A"/>
    <w:rsid w:val="00A41086"/>
    <w:rsid w:val="00B85911"/>
    <w:rsid w:val="00BF1210"/>
    <w:rsid w:val="00C72514"/>
    <w:rsid w:val="00D16437"/>
    <w:rsid w:val="00D41DA4"/>
    <w:rsid w:val="00D56F36"/>
    <w:rsid w:val="00E73B5F"/>
    <w:rsid w:val="00F8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2F1D"/>
  <w15:chartTrackingRefBased/>
  <w15:docId w15:val="{C9477203-4F5F-4E46-B304-9A979553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9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9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9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9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9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9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9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9D9"/>
    <w:rPr>
      <w:rFonts w:eastAsiaTheme="majorEastAsia" w:cstheme="majorBidi"/>
      <w:color w:val="272727" w:themeColor="text1" w:themeTint="D8"/>
    </w:rPr>
  </w:style>
  <w:style w:type="paragraph" w:styleId="Title">
    <w:name w:val="Title"/>
    <w:basedOn w:val="Normal"/>
    <w:next w:val="Normal"/>
    <w:link w:val="TitleChar"/>
    <w:uiPriority w:val="10"/>
    <w:qFormat/>
    <w:rsid w:val="00283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9D9"/>
    <w:pPr>
      <w:spacing w:before="160"/>
      <w:jc w:val="center"/>
    </w:pPr>
    <w:rPr>
      <w:i/>
      <w:iCs/>
      <w:color w:val="404040" w:themeColor="text1" w:themeTint="BF"/>
    </w:rPr>
  </w:style>
  <w:style w:type="character" w:customStyle="1" w:styleId="QuoteChar">
    <w:name w:val="Quote Char"/>
    <w:basedOn w:val="DefaultParagraphFont"/>
    <w:link w:val="Quote"/>
    <w:uiPriority w:val="29"/>
    <w:rsid w:val="002839D9"/>
    <w:rPr>
      <w:i/>
      <w:iCs/>
      <w:color w:val="404040" w:themeColor="text1" w:themeTint="BF"/>
    </w:rPr>
  </w:style>
  <w:style w:type="paragraph" w:styleId="ListParagraph">
    <w:name w:val="List Paragraph"/>
    <w:basedOn w:val="Normal"/>
    <w:uiPriority w:val="34"/>
    <w:qFormat/>
    <w:rsid w:val="002839D9"/>
    <w:pPr>
      <w:ind w:left="720"/>
      <w:contextualSpacing/>
    </w:pPr>
  </w:style>
  <w:style w:type="character" w:styleId="IntenseEmphasis">
    <w:name w:val="Intense Emphasis"/>
    <w:basedOn w:val="DefaultParagraphFont"/>
    <w:uiPriority w:val="21"/>
    <w:qFormat/>
    <w:rsid w:val="002839D9"/>
    <w:rPr>
      <w:i/>
      <w:iCs/>
      <w:color w:val="0F4761" w:themeColor="accent1" w:themeShade="BF"/>
    </w:rPr>
  </w:style>
  <w:style w:type="paragraph" w:styleId="IntenseQuote">
    <w:name w:val="Intense Quote"/>
    <w:basedOn w:val="Normal"/>
    <w:next w:val="Normal"/>
    <w:link w:val="IntenseQuoteChar"/>
    <w:uiPriority w:val="30"/>
    <w:qFormat/>
    <w:rsid w:val="00283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9D9"/>
    <w:rPr>
      <w:i/>
      <w:iCs/>
      <w:color w:val="0F4761" w:themeColor="accent1" w:themeShade="BF"/>
    </w:rPr>
  </w:style>
  <w:style w:type="character" w:styleId="IntenseReference">
    <w:name w:val="Intense Reference"/>
    <w:basedOn w:val="DefaultParagraphFont"/>
    <w:uiPriority w:val="32"/>
    <w:qFormat/>
    <w:rsid w:val="002839D9"/>
    <w:rPr>
      <w:b/>
      <w:bCs/>
      <w:smallCaps/>
      <w:color w:val="0F4761" w:themeColor="accent1" w:themeShade="BF"/>
      <w:spacing w:val="5"/>
    </w:rPr>
  </w:style>
  <w:style w:type="paragraph" w:styleId="NoSpacing">
    <w:name w:val="No Spacing"/>
    <w:uiPriority w:val="1"/>
    <w:qFormat/>
    <w:rsid w:val="002839D9"/>
    <w:pPr>
      <w:spacing w:after="0" w:line="240" w:lineRule="auto"/>
    </w:pPr>
  </w:style>
  <w:style w:type="paragraph" w:styleId="Header">
    <w:name w:val="header"/>
    <w:basedOn w:val="Normal"/>
    <w:link w:val="HeaderChar"/>
    <w:uiPriority w:val="99"/>
    <w:unhideWhenUsed/>
    <w:rsid w:val="00505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8E"/>
  </w:style>
  <w:style w:type="paragraph" w:styleId="Footer">
    <w:name w:val="footer"/>
    <w:basedOn w:val="Normal"/>
    <w:link w:val="FooterChar"/>
    <w:uiPriority w:val="99"/>
    <w:unhideWhenUsed/>
    <w:rsid w:val="00505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Casenza</dc:creator>
  <cp:keywords/>
  <dc:description/>
  <cp:lastModifiedBy>Stephanie Casenza</cp:lastModifiedBy>
  <cp:revision>1</cp:revision>
  <dcterms:created xsi:type="dcterms:W3CDTF">2025-04-16T20:43:00Z</dcterms:created>
  <dcterms:modified xsi:type="dcterms:W3CDTF">2025-04-16T23:35:00Z</dcterms:modified>
</cp:coreProperties>
</file>